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EFC62" w14:textId="205055DA" w:rsidR="008C0D8C" w:rsidRDefault="004856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5" w:lineRule="auto"/>
        <w:ind w:left="2152" w:right="2205"/>
        <w:jc w:val="center"/>
        <w:rPr>
          <w:b/>
          <w:sz w:val="31"/>
          <w:szCs w:val="31"/>
        </w:rPr>
      </w:pPr>
      <w:r>
        <w:rPr>
          <w:b/>
          <w:sz w:val="31"/>
          <w:szCs w:val="31"/>
        </w:rPr>
        <w:t>Mueller</w:t>
      </w:r>
      <w:r w:rsidR="008C0D8C">
        <w:rPr>
          <w:b/>
          <w:sz w:val="31"/>
          <w:szCs w:val="31"/>
        </w:rPr>
        <w:t xml:space="preserve"> Township</w:t>
      </w:r>
    </w:p>
    <w:p w14:paraId="00000001" w14:textId="0BCD84DE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5" w:lineRule="auto"/>
        <w:ind w:left="2152" w:right="2205"/>
        <w:jc w:val="center"/>
        <w:rPr>
          <w:b/>
          <w:color w:val="000000"/>
          <w:sz w:val="31"/>
          <w:szCs w:val="31"/>
        </w:rPr>
      </w:pPr>
      <w:r>
        <w:rPr>
          <w:b/>
          <w:sz w:val="31"/>
          <w:szCs w:val="31"/>
        </w:rPr>
        <w:t>P</w:t>
      </w:r>
      <w:r>
        <w:rPr>
          <w:b/>
          <w:color w:val="000000"/>
          <w:sz w:val="31"/>
          <w:szCs w:val="31"/>
        </w:rPr>
        <w:t xml:space="preserve">roperty Exemption Policy &amp; Procedures  </w:t>
      </w:r>
    </w:p>
    <w:p w14:paraId="00000002" w14:textId="547A3DD0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6" w:line="229" w:lineRule="auto"/>
        <w:ind w:left="4" w:right="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Michigan Constitution of 1963 (as amended) and the General Property Tax Act (PA 206 </w:t>
      </w:r>
      <w:r w:rsidR="00B63839">
        <w:rPr>
          <w:color w:val="000000"/>
          <w:sz w:val="24"/>
          <w:szCs w:val="24"/>
        </w:rPr>
        <w:t>of 1893</w:t>
      </w:r>
      <w:r>
        <w:rPr>
          <w:color w:val="000000"/>
          <w:sz w:val="24"/>
          <w:szCs w:val="24"/>
        </w:rPr>
        <w:t xml:space="preserve">, as amended) set forth that all real and personal property located within the State of </w:t>
      </w:r>
      <w:r w:rsidR="00B63839">
        <w:rPr>
          <w:color w:val="000000"/>
          <w:sz w:val="24"/>
          <w:szCs w:val="24"/>
        </w:rPr>
        <w:t>Michigan is</w:t>
      </w:r>
      <w:r>
        <w:rPr>
          <w:color w:val="000000"/>
          <w:sz w:val="24"/>
          <w:szCs w:val="24"/>
        </w:rPr>
        <w:t xml:space="preserve"> subject to ad valorem property taxation, unless expressly exempt.  </w:t>
      </w:r>
    </w:p>
    <w:p w14:paraId="00000003" w14:textId="1BA6B6E4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29" w:lineRule="auto"/>
        <w:ind w:left="1"/>
        <w:jc w:val="both"/>
        <w:rPr>
          <w:i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Real and personal property exemptions are identified and authorized within specific sections </w:t>
      </w:r>
      <w:r w:rsidR="00B63839">
        <w:rPr>
          <w:color w:val="000000"/>
          <w:sz w:val="24"/>
          <w:szCs w:val="24"/>
        </w:rPr>
        <w:t>and subsections</w:t>
      </w:r>
      <w:r>
        <w:rPr>
          <w:color w:val="000000"/>
          <w:sz w:val="24"/>
          <w:szCs w:val="24"/>
        </w:rPr>
        <w:t xml:space="preserve"> of Section 211.7 and Section 211.9 of the Michigan Compiled Laws. </w:t>
      </w:r>
      <w:r w:rsidR="00B63839">
        <w:rPr>
          <w:color w:val="000000"/>
          <w:sz w:val="24"/>
          <w:szCs w:val="24"/>
        </w:rPr>
        <w:t>Further, Michigan</w:t>
      </w:r>
      <w:r>
        <w:rPr>
          <w:color w:val="000000"/>
          <w:sz w:val="24"/>
          <w:szCs w:val="24"/>
        </w:rPr>
        <w:t xml:space="preserve"> Courts have set that the burden of proof of exemption entitlement rests with </w:t>
      </w:r>
      <w:r w:rsidR="00B63839">
        <w:rPr>
          <w:color w:val="000000"/>
          <w:sz w:val="24"/>
          <w:szCs w:val="24"/>
        </w:rPr>
        <w:t>the claimant</w:t>
      </w:r>
      <w:r>
        <w:rPr>
          <w:color w:val="000000"/>
          <w:sz w:val="24"/>
          <w:szCs w:val="24"/>
        </w:rPr>
        <w:t xml:space="preserve">/applicant. A claimant/applicant’s 501(c)(3) status is not a determining factor </w:t>
      </w:r>
      <w:r w:rsidR="00B63839">
        <w:rPr>
          <w:color w:val="000000"/>
          <w:sz w:val="24"/>
          <w:szCs w:val="24"/>
        </w:rPr>
        <w:t>for exemption</w:t>
      </w:r>
      <w:r>
        <w:rPr>
          <w:color w:val="000000"/>
          <w:sz w:val="24"/>
          <w:szCs w:val="24"/>
        </w:rPr>
        <w:t xml:space="preserve">. </w:t>
      </w:r>
      <w:r>
        <w:rPr>
          <w:i/>
          <w:color w:val="000000"/>
          <w:sz w:val="24"/>
          <w:szCs w:val="24"/>
        </w:rPr>
        <w:t>[American Concrete Institute v State Tax Commission, 12 Mich app595;163 NW2</w:t>
      </w:r>
      <w:r w:rsidR="00B63839">
        <w:rPr>
          <w:i/>
          <w:color w:val="000000"/>
          <w:sz w:val="24"/>
          <w:szCs w:val="24"/>
        </w:rPr>
        <w:t>d 508</w:t>
      </w:r>
      <w:r>
        <w:rPr>
          <w:i/>
          <w:color w:val="000000"/>
          <w:sz w:val="24"/>
          <w:szCs w:val="24"/>
        </w:rPr>
        <w:t xml:space="preserve"> (1968)].  </w:t>
      </w:r>
    </w:p>
    <w:p w14:paraId="00000004" w14:textId="05BA7DFA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29" w:lineRule="auto"/>
        <w:ind w:right="3" w:firstLine="3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In order for</w:t>
      </w:r>
      <w:proofErr w:type="gramEnd"/>
      <w:r>
        <w:rPr>
          <w:color w:val="000000"/>
          <w:sz w:val="24"/>
          <w:szCs w:val="24"/>
        </w:rPr>
        <w:t xml:space="preserve"> an exemption of ad valorem property to be approved and added to the assessment </w:t>
      </w:r>
      <w:r w:rsidR="00B63839">
        <w:rPr>
          <w:color w:val="000000"/>
          <w:sz w:val="24"/>
          <w:szCs w:val="24"/>
        </w:rPr>
        <w:t>roll, the</w:t>
      </w:r>
      <w:r>
        <w:rPr>
          <w:color w:val="000000"/>
          <w:sz w:val="24"/>
          <w:szCs w:val="24"/>
        </w:rPr>
        <w:t xml:space="preserve"> following procedures will be followed:  </w:t>
      </w:r>
    </w:p>
    <w:p w14:paraId="00000005" w14:textId="0C84FB43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6" w:line="229" w:lineRule="auto"/>
        <w:ind w:left="726" w:right="1" w:hanging="3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A completed “Ad Valorem Property Tax Exemption Application” must be filed with the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Township’s assessing office. (filed on or before March 1st)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06" w14:textId="77777777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36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ALL attachments/documents must be submitted with the application  </w:t>
      </w:r>
    </w:p>
    <w:p w14:paraId="00000007" w14:textId="1ED92C4B" w:rsidR="001D2E5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" w:line="243" w:lineRule="auto"/>
        <w:ind w:right="12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Copy of instrument by which property was acquired (proof of ownership)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08" w14:textId="646F59E9" w:rsidR="001D2E5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3" w:lineRule="auto"/>
        <w:ind w:right="121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Copy of Articles of Incorporation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09" w14:textId="1CA0EB4B" w:rsidR="001D2E5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Copy of by-Laws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0A" w14:textId="78D19DD5" w:rsidR="001D2E5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Copy of any pamphlet, other information, or literature describing the functions of </w:t>
      </w:r>
      <w:r w:rsidR="00B63839">
        <w:rPr>
          <w:color w:val="000000"/>
          <w:sz w:val="24"/>
          <w:szCs w:val="24"/>
        </w:rPr>
        <w:t>the organization.</w:t>
      </w:r>
      <w:r>
        <w:rPr>
          <w:color w:val="000000"/>
          <w:sz w:val="24"/>
          <w:szCs w:val="24"/>
        </w:rPr>
        <w:t xml:space="preserve">  </w:t>
      </w:r>
    </w:p>
    <w:p w14:paraId="0000000B" w14:textId="7B2C9809" w:rsidR="001D2E5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30" w:lineRule="auto"/>
        <w:ind w:right="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Copy of previous 3 years of Income Tax filings including 990 forms (</w:t>
      </w:r>
      <w:r w:rsidR="00B63839">
        <w:rPr>
          <w:color w:val="000000"/>
          <w:sz w:val="24"/>
          <w:szCs w:val="24"/>
        </w:rPr>
        <w:t>charitable exemption</w:t>
      </w:r>
      <w:r>
        <w:rPr>
          <w:color w:val="000000"/>
          <w:sz w:val="24"/>
          <w:szCs w:val="24"/>
        </w:rPr>
        <w:t xml:space="preserve"> applications)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0C" w14:textId="3C49ED97" w:rsidR="001D2E58" w:rsidRDefault="0000000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Copies of all leases including sub-leases in effect at the subject property during </w:t>
      </w:r>
      <w:r w:rsidR="00B63839">
        <w:rPr>
          <w:color w:val="000000"/>
          <w:sz w:val="24"/>
          <w:szCs w:val="24"/>
        </w:rPr>
        <w:t>the previous</w:t>
      </w:r>
      <w:r>
        <w:rPr>
          <w:color w:val="000000"/>
          <w:sz w:val="24"/>
          <w:szCs w:val="24"/>
        </w:rPr>
        <w:t xml:space="preserve"> calendar year</w:t>
      </w:r>
      <w:r w:rsidR="00B63839">
        <w:rPr>
          <w:color w:val="000000"/>
          <w:sz w:val="24"/>
          <w:szCs w:val="24"/>
        </w:rPr>
        <w:t>.</w:t>
      </w:r>
    </w:p>
    <w:p w14:paraId="0000000D" w14:textId="64A7EDCA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left="3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A file will be created for the review and approval process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0E" w14:textId="4E7FAC20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6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A field inspection of the property will be completed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14:paraId="0000000F" w14:textId="12FB1448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" w:firstLine="2"/>
        <w:rPr>
          <w:sz w:val="24"/>
          <w:szCs w:val="24"/>
        </w:rPr>
      </w:pPr>
      <w:r>
        <w:rPr>
          <w:color w:val="000000"/>
          <w:sz w:val="24"/>
          <w:szCs w:val="24"/>
        </w:rPr>
        <w:t>5. If necessary, the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Township’s attorney will be asked to review the file and give opinion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</w:p>
    <w:p w14:paraId="00000010" w14:textId="4545BAAA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" w:firstLin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The official notification of the taxable statue will be the annual assessment change notice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11" w14:textId="1F16E18E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66" w:right="1" w:firstLine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 Taxpayers may appeal the assessor’s determination at the March Board of Review</w:t>
      </w:r>
      <w:r w:rsidR="00B6383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 </w:t>
      </w:r>
    </w:p>
    <w:p w14:paraId="00000012" w14:textId="0B8CDDC5" w:rsidR="001D2E58" w:rsidRDefault="00000000" w:rsidP="009A0E9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1" w:line="240" w:lineRule="auto"/>
        <w:ind w:right="9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Effective Date</w:t>
      </w:r>
      <w:r>
        <w:rPr>
          <w:color w:val="000000"/>
          <w:sz w:val="24"/>
          <w:szCs w:val="24"/>
          <w:u w:val="single"/>
        </w:rPr>
        <w:t>:</w:t>
      </w:r>
      <w:r w:rsidR="009A0E96">
        <w:rPr>
          <w:color w:val="000000"/>
          <w:sz w:val="24"/>
          <w:szCs w:val="24"/>
          <w:u w:val="single"/>
        </w:rPr>
        <w:t xml:space="preserve"> 2/12/2025</w:t>
      </w:r>
    </w:p>
    <w:p w14:paraId="00000013" w14:textId="7C65FD5A" w:rsidR="001D2E58" w:rsidRDefault="00000000">
      <w:pPr>
        <w:widowControl w:val="0"/>
        <w:spacing w:before="550" w:line="240" w:lineRule="auto"/>
        <w:ind w:left="11"/>
        <w:rPr>
          <w:sz w:val="24"/>
          <w:szCs w:val="24"/>
        </w:rPr>
      </w:pPr>
      <w:r>
        <w:rPr>
          <w:rFonts w:ascii="Calibri" w:eastAsia="Calibri" w:hAnsi="Calibri" w:cs="Calibri"/>
          <w:b/>
        </w:rPr>
        <w:t xml:space="preserve">POLICY DECLARED ADOPTED BY THE </w:t>
      </w:r>
      <w:r w:rsidR="00485678">
        <w:rPr>
          <w:rFonts w:ascii="Calibri" w:eastAsia="Calibri" w:hAnsi="Calibri" w:cs="Calibri"/>
          <w:b/>
        </w:rPr>
        <w:t>MUELLER</w:t>
      </w:r>
      <w:r>
        <w:rPr>
          <w:rFonts w:ascii="Calibri" w:eastAsia="Calibri" w:hAnsi="Calibri" w:cs="Calibri"/>
          <w:b/>
        </w:rPr>
        <w:t xml:space="preserve"> TOWNSHIP BOARD FEBRUARY</w:t>
      </w:r>
      <w:r w:rsidR="00E6798A">
        <w:rPr>
          <w:rFonts w:ascii="Calibri" w:eastAsia="Calibri" w:hAnsi="Calibri" w:cs="Calibri"/>
          <w:b/>
        </w:rPr>
        <w:t xml:space="preserve"> ON</w:t>
      </w:r>
      <w:r w:rsidR="009A0E96">
        <w:rPr>
          <w:rFonts w:ascii="Calibri" w:eastAsia="Calibri" w:hAnsi="Calibri" w:cs="Calibri"/>
          <w:b/>
        </w:rPr>
        <w:t xml:space="preserve"> 12th</w:t>
      </w:r>
      <w:r>
        <w:rPr>
          <w:rFonts w:ascii="Calibri" w:eastAsia="Calibri" w:hAnsi="Calibri" w:cs="Calibri"/>
          <w:b/>
        </w:rPr>
        <w:t>, 2025.</w:t>
      </w:r>
    </w:p>
    <w:p w14:paraId="00000014" w14:textId="77777777" w:rsidR="001D2E58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8" w:line="240" w:lineRule="auto"/>
        <w:jc w:val="center"/>
        <w:rPr>
          <w:b/>
          <w:color w:val="2B3990"/>
          <w:sz w:val="31"/>
          <w:szCs w:val="31"/>
        </w:rPr>
      </w:pPr>
      <w:r>
        <w:rPr>
          <w:b/>
          <w:color w:val="2B3990"/>
          <w:sz w:val="31"/>
          <w:szCs w:val="31"/>
        </w:rPr>
        <w:t xml:space="preserve"> </w:t>
      </w:r>
    </w:p>
    <w:p w14:paraId="00000015" w14:textId="77777777" w:rsidR="001D2E58" w:rsidRDefault="001D2E5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9" w:lineRule="auto"/>
        <w:ind w:left="2586" w:right="2642"/>
        <w:jc w:val="center"/>
        <w:rPr>
          <w:i/>
          <w:color w:val="2B3990"/>
          <w:sz w:val="15"/>
          <w:szCs w:val="15"/>
        </w:rPr>
      </w:pPr>
    </w:p>
    <w:sectPr w:rsidR="001D2E58">
      <w:pgSz w:w="12240" w:h="15840"/>
      <w:pgMar w:top="715" w:right="1389" w:bottom="792" w:left="1442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86878"/>
    <w:multiLevelType w:val="multilevel"/>
    <w:tmpl w:val="000C057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935331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E58"/>
    <w:rsid w:val="00132F3C"/>
    <w:rsid w:val="001C276A"/>
    <w:rsid w:val="001D2E58"/>
    <w:rsid w:val="00253852"/>
    <w:rsid w:val="00345A60"/>
    <w:rsid w:val="0048517D"/>
    <w:rsid w:val="00485678"/>
    <w:rsid w:val="005D189E"/>
    <w:rsid w:val="008C0D8C"/>
    <w:rsid w:val="009A0E96"/>
    <w:rsid w:val="009B3A53"/>
    <w:rsid w:val="009D7BC0"/>
    <w:rsid w:val="00B63839"/>
    <w:rsid w:val="00B9130D"/>
    <w:rsid w:val="00DE4E6E"/>
    <w:rsid w:val="00E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51DA"/>
  <w15:docId w15:val="{DABD5F3C-6C93-4EEA-B650-A2DAA21AF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1763</Characters>
  <Application>Microsoft Office Word</Application>
  <DocSecurity>0</DocSecurity>
  <Lines>38</Lines>
  <Paragraphs>20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Inwood Assessor</dc:creator>
  <cp:lastModifiedBy>Nicole Merlo</cp:lastModifiedBy>
  <cp:revision>3</cp:revision>
  <dcterms:created xsi:type="dcterms:W3CDTF">2025-12-31T18:43:00Z</dcterms:created>
  <dcterms:modified xsi:type="dcterms:W3CDTF">2025-12-31T18:43:00Z</dcterms:modified>
</cp:coreProperties>
</file>